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E5" w:rsidRDefault="00670CE5" w:rsidP="00670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Аннотация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 рабочим программам по ОБЖ (8-11 классы)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программы по ОБЖ для 8-11 классов составлены на основе следующих нормативно-правовых и инструктивно-методических документов:</w:t>
      </w:r>
    </w:p>
    <w:p w:rsidR="00670CE5" w:rsidRDefault="00670CE5" w:rsidP="00670CE5">
      <w:pPr>
        <w:widowControl w:val="0"/>
        <w:numPr>
          <w:ilvl w:val="1"/>
          <w:numId w:val="1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13" w:lineRule="auto"/>
        <w:ind w:left="0" w:right="980" w:firstLine="6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Федерального закона от 29.12.2012 г. № 273-ФЗ «Об образовании в Российской Федерации»; </w:t>
      </w:r>
    </w:p>
    <w:p w:rsidR="00670CE5" w:rsidRDefault="00670CE5" w:rsidP="00670CE5">
      <w:pPr>
        <w:widowControl w:val="0"/>
        <w:numPr>
          <w:ilvl w:val="0"/>
          <w:numId w:val="1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20" w:lineRule="auto"/>
        <w:ind w:left="0" w:right="220" w:firstLine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670CE5" w:rsidRDefault="00670CE5" w:rsidP="00670CE5">
      <w:pPr>
        <w:widowControl w:val="0"/>
        <w:numPr>
          <w:ilvl w:val="1"/>
          <w:numId w:val="1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25" w:lineRule="auto"/>
        <w:ind w:left="0" w:right="140" w:firstLine="6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670CE5" w:rsidRDefault="00670CE5" w:rsidP="00670CE5">
      <w:pPr>
        <w:pStyle w:val="Default"/>
        <w:spacing w:line="276" w:lineRule="auto"/>
        <w:jc w:val="both"/>
      </w:pPr>
      <w:r>
        <w:t>-Федеральный компонент государственных образовательных стандартов общего образования (ФКГОС) в 5-9, 10-11 классах.</w:t>
      </w:r>
    </w:p>
    <w:p w:rsidR="00670CE5" w:rsidRDefault="00670CE5" w:rsidP="00670CE5">
      <w:pPr>
        <w:spacing w:after="0" w:line="240" w:lineRule="auto"/>
        <w:ind w:left="2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   Примерной программы по учебному предмету «Основы безопасности жизнедеятельности 5-9 классов», М.: Просвещение, 2016</w:t>
      </w:r>
    </w:p>
    <w:p w:rsidR="00670CE5" w:rsidRDefault="00670CE5" w:rsidP="00670CE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Авторской программы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А.Т.Смирнов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Б.О.Хренникова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«Основы безопасности жизнедеятельности», М.: Просвещение, 2016</w:t>
      </w:r>
    </w:p>
    <w:p w:rsidR="00670CE5" w:rsidRDefault="00670CE5" w:rsidP="00670CE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- Федерального государственного образовательного стандарта основного общего образования, утв. приказом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России от 17 декабря 2010 года </w:t>
      </w:r>
      <w:r>
        <w:rPr>
          <w:rFonts w:ascii="Times New Roman" w:hAnsi="Times New Roman"/>
          <w:sz w:val="24"/>
          <w:szCs w:val="24"/>
          <w:lang w:eastAsia="ru-RU"/>
        </w:rPr>
        <w:t>N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1897 (с изменениями на 31 декабря 2015 года)</w:t>
      </w:r>
    </w:p>
    <w:p w:rsidR="00670CE5" w:rsidRDefault="00670CE5" w:rsidP="00670CE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плана МБОУ ХМР СОШ п.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Луговской</w:t>
      </w:r>
      <w:proofErr w:type="spellEnd"/>
    </w:p>
    <w:p w:rsidR="00670CE5" w:rsidRDefault="00670CE5" w:rsidP="00670CE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bookmarkStart w:id="1" w:name="_GoBack"/>
      <w:bookmarkEnd w:id="1"/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В настоящей рабочей программе реализованы требования следующих документов: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«О защите населения и территорий от чрезвычайных ситуаций природного и техногенного характера»;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«Об охране окружающей природной среды»;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«О пожарной безопасности»;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«О гражданской обороне»;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«О безопасности дорожного движения» и др.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В содержание рабочей программы включен материал по изучению с обучающимися: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дорожного движения.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пожарной безопасности;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Правил противопожарного режима.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национальной безопасности Российской Федерации до 2020г. (утверждена Указом Президента Российской Федерации от 12 мая 2009г № 537);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государственной антинаркотической политики Российской Федерации до 2020г. (утверждена Указом Президента Российской Федерации от 9 июня 2010г № 690). </w:t>
      </w:r>
    </w:p>
    <w:p w:rsidR="00670CE5" w:rsidRDefault="00670CE5" w:rsidP="00670CE5">
      <w:pPr>
        <w:spacing w:after="160" w:line="256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sym w:font="Symbol" w:char="F0B7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Стратегии национальной безопасности РФ Указ Президента РФ от 31.12.2015 N 683 "О Стратегии национальной безопасности Российской Федерации"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программы по ОБЖ составлены в соответствии с требованиями Федерального государственного стандарта (ФГОС ООО 2010 г.) (5-9 классы), Федерального компонента государственного образовательного стандарта основного общего образования (8-9 классы) (2004 г.) и среднего общего образования (10-11 классы) (2004г., базовый уровень) и учебно-методическими комплексами: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предмета в учебном плане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47"/>
        <w:gridCol w:w="7598"/>
      </w:tblGrid>
      <w:tr w:rsidR="00670CE5" w:rsidTr="00670CE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в неделю/год</w:t>
            </w:r>
          </w:p>
        </w:tc>
      </w:tr>
      <w:tr w:rsidR="00670CE5" w:rsidTr="00670CE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1/34</w:t>
            </w:r>
          </w:p>
        </w:tc>
      </w:tr>
      <w:tr w:rsidR="00670CE5" w:rsidTr="00670CE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1/34</w:t>
            </w:r>
          </w:p>
        </w:tc>
      </w:tr>
      <w:tr w:rsidR="00670CE5" w:rsidTr="00670CE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1/34</w:t>
            </w:r>
          </w:p>
        </w:tc>
      </w:tr>
      <w:tr w:rsidR="00670CE5" w:rsidTr="00670CE5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1/34</w:t>
            </w:r>
          </w:p>
        </w:tc>
      </w:tr>
    </w:tbl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программы по ОБЖ построены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432"/>
      </w:tblGrid>
      <w:tr w:rsidR="00670CE5" w:rsidTr="00670C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  <w:proofErr w:type="spellEnd"/>
          </w:p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70CE5" w:rsidTr="00670C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 класс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Пожары в жилых и общественных зданиях, их причины и последствия.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Причины дорожно-транспортных происшествий и травматизма людей. Безопасное поведение на водоемах в различных условиях. Классификация чрезвычайных ситуаций техногенного характера. Аварии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радиационно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опасных объектах, химических и их возможные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последствия.Обеспечение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радиационной, химической и гидродинамической безопасности Организация повешения населения о чрезвычайных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ситуациях.Здоровье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 Первая помощь пострадавшим и ее значение.</w:t>
            </w:r>
          </w:p>
        </w:tc>
      </w:tr>
      <w:tr w:rsidR="00670CE5" w:rsidTr="00670CE5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 класс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Современный мир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Россия.Национальные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интересы России в современном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мире.Основные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угрозы национальным интересам и безопасности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России.Чрезвычайные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ситуации и их классификация. Чрезвычайные ситуации природного характера и 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последствия.Чрезвычайные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ситуации техногенного характера и 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причины.Угроза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военной безопасности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России.Единая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государственная система предупреждения и ликвидации чрезвычайных ситуаций (РСЧС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).Гражданская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ситуаций.Оповещение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эвакуация населения в условиях чрезвычайных ситуаций. Аварийно-спасательные и другие неотложные работы в очагах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поражения.Международный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терроризм – угроза национальной безопасности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России.Виды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террористической деятельности и террористических актов, их цели и способы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осуществления.Основные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нормативно-правовые акты по противодействию терроризму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экстремизму.Общегосударственное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противодействие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терроризму.Нормативно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-правовая база противодействия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наркотизму.Правила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поведения при угрозе террористического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акта.Профилактика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наркозависимости.Здоровье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человека как индивидуальная, так и общественная ценность. Здоровый образ жизни и его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составляющие.Репродуктивное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здоровье населения и национальная безопасность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России.Ранние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половые связи и их последствия. Инфекции, передаваемые половым путем. Понятие о ВИЧ-инфекции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СПИДе.Брак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семья.Семья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здоровый образ жизни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человека.Основы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семейного права в Российской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Федерации.Первая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помощь при массовых поражениях, при передозировке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веществ.</w:t>
            </w:r>
          </w:p>
        </w:tc>
      </w:tr>
      <w:tr w:rsidR="00670CE5" w:rsidTr="00670C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 класс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Возможные причины попадания человека в условия автономного существования, меры профилактики.  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 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 Правила поведения при техногенных авариях. 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Вооруженный конфликт, военный конфликт, локальная война, региональная война, крупномасштабная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война.Конституция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РФ, ФЗ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безопасности», «Об обороне», «О защите населения и территорий от ЧС», «О пожарной безопасности», «О ГО», «О безопасности дорожного движения»,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 противодействию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терроризму» и др. История создания РСЧС, Силы и 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РСЧС.Терроризм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— общие понятия и определения. Характеристика современной террористической деятельности в России. Законы и акты, направленные на защиту от экстремизма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терроризма.Основные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статьи Уголовного кодекса и виды наказаний для террористов,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экстремистов.Возникновение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распространение инфекционных заболеваний, пути их передачи. Иммунная реакция организма. Распространённые инфекционные заболевания. Способы профилактики. Здоровый образ жизни как основа личного здоровья и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личности.Табакокурение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его влияние на организм курящего и окружающих людей. Алкоголь и репродуктивная функция. Профилактика разрушающего влияния алкоголя, наркомании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токсикомании.История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создания, предназначение и задачи ГО. Организация ГО на территории РФ, силы и 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ГО.Современные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средства поражения, поражающие факторы. Мероприятия, проводимые по защите населения от современных средств поражения. Система оповещения, способы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оповещения.Задачи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обучения в области ГО, формы обучения.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ГО.Дни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воинской славы России – дни славных побед, сыгравших решающую роль в истории гос-ва. Формы увековечивания памяти российских воинов,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отличившихся в сражениях. Виды и рода войск, история их создания. Понятие о боевых традициях, героизме, мужестве, воинской доблести и чести</w:t>
            </w:r>
          </w:p>
        </w:tc>
      </w:tr>
      <w:tr w:rsidR="00670CE5" w:rsidTr="00670C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 класс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5" w:rsidRDefault="00670CE5">
            <w:pPr>
              <w:shd w:val="clear" w:color="auto" w:fill="FFFFFF"/>
              <w:tabs>
                <w:tab w:val="left" w:pos="941"/>
              </w:tabs>
              <w:ind w:left="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Правила личной гигиены и здоровье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Нравственность и здоровье. Формирование правильного взаимоот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полов.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>Семья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и её значение в жизни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>человека.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Болезни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, передаваемые половым путём. Меры профилактики.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Инфекции, передаваемые половым путем, формы передачи, причины,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способствующие заражению ИППП. Меры профилактики. Уголовная ответст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венность за заражение венерической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болезнью.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СПИД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и его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профилактика.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Сердечная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недостаточность.  Инфаркт. Инсульт, его возможные причины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возникновение.Виды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ран и общие правила оказания первой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помощи.Первая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медицинская помощь при травмах опорно-двигательного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аппара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та.Основные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понятия о воинской обязанности. Воинский учет, обязательная подготовка к военной службе, призыв на 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енную службу, прохождение военной службы по призыву, пребывание в запасе, и прохождение военных сборов в период пребывания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запасе.Профессионально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-психологический отбор в вооруженных силах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РФ.Обязательная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подготовка граждан к военной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службе.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Добровольная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подготовка граждан к военной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службе.Организация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медицинского освидетельствования и медицинского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обследования граждан при постановке на воинский учет.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Увольнение с военной службы и пребывание в запасе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Правовые основы военной службы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Общевоинские уставы Вооруженных Сил Российской Федерации 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закон воинской жизни.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Военная присяга - клятва воина на верность Родине –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России.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Воинские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звания военнослужащих Вооруженных Сил Российской Феде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рации. Военная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одежды.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Прохождение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военной службы по контракту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Права и ответственность военнослужащих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Военная дисциплина, её сущность и значение.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Уголовная ответственность за преступления против военной службы.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Альтернативная гражданская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служба.Как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стать офицером Российской армии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Международная (миротворческая) деятельность Вооруженных Сил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Российской Федерации.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Подготовка и обучение военнослужащих миротворческого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  <w:lang w:val="ru-RU" w:eastAsia="ru-RU"/>
              </w:rPr>
              <w:t>контингента.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человека как результат его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lang w:val="ru-RU" w:eastAsia="ru-RU"/>
              </w:rPr>
              <w:t>жизнедеятельности.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обеспечения безопасности.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безопасности.Появление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глобальных угроз от жизнедеятельности. Демографическая проблема. Обеспечение безопасности жизнедеятельности на глобальном уровне. Мировое сообщество и Россия в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эпохе.Формирование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мирового сообщества в результате жизнедеятельности, развития информационного и экономического пространства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мира.Особенности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России и угрозы её национальной безопасности в со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временном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мире.Сферы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национальных интересов России. Внутренние угрозы националь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ной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России.Внешние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угрозы национальной безопасности России.</w:t>
            </w:r>
          </w:p>
        </w:tc>
      </w:tr>
    </w:tbl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Структура рабочих программ: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программы состоят из 3 разделов: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 . Требования к уровню подготовки обучающихся; 2. Содержание учебного предмета, курса; 3. Календарно-тематическое планирование с указанием количества часов, отводимых на изучение темы.</w:t>
      </w: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70CE5" w:rsidRDefault="00670CE5" w:rsidP="00670CE5">
      <w:pPr>
        <w:rPr>
          <w:rFonts w:ascii="Times New Roman" w:hAnsi="Times New Roman"/>
          <w:sz w:val="24"/>
          <w:szCs w:val="24"/>
          <w:lang w:val="ru-RU"/>
        </w:rPr>
      </w:pPr>
    </w:p>
    <w:p w:rsidR="00821956" w:rsidRPr="00670CE5" w:rsidRDefault="00821956">
      <w:pPr>
        <w:rPr>
          <w:lang w:val="ru-RU"/>
        </w:rPr>
      </w:pPr>
    </w:p>
    <w:sectPr w:rsidR="00821956" w:rsidRPr="0067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D"/>
    <w:rsid w:val="002A03AD"/>
    <w:rsid w:val="00670CE5"/>
    <w:rsid w:val="008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8975-2A82-406A-A7DF-9926376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E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0C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2023-03-16T12:50:00Z</dcterms:created>
  <dcterms:modified xsi:type="dcterms:W3CDTF">2023-03-16T12:52:00Z</dcterms:modified>
</cp:coreProperties>
</file>